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宋体" w:hAnsi="宋体" w:eastAsia="宋体"/>
          <w:b/>
          <w:sz w:val="22"/>
          <w:szCs w:val="22"/>
          <w:lang w:eastAsia="zh-CN"/>
        </w:rPr>
      </w:pPr>
      <w:r>
        <w:rPr>
          <w:rFonts w:hint="eastAsia" w:ascii="宋体" w:hAnsi="宋体" w:eastAsia="宋体"/>
          <w:b/>
          <w:sz w:val="22"/>
          <w:szCs w:val="22"/>
        </w:rPr>
        <w:t>附件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广东外语外贸大学南国商学院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 xml:space="preserve"> “随时随地学外语·讲外语·用外语”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外语类单位工作考核评审指标（修订稿）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75"/>
        <w:gridCol w:w="3310"/>
        <w:gridCol w:w="925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指标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主要内涵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满分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晨读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学院班级晨读情况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60分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4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  <w:t>“随时随地学外语·讲外语·用外语”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学生活动开展情况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highlight w:val="none"/>
              </w:rPr>
              <w:t>品牌课外实践教学活动开展材料：活动方案、实施情况等。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30分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学生在外语竞赛中获奖情况。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专业外语考级情况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围绕“一体两翼”的人才培养模式，全面提高学生外语能力和实践能力，提升核心竞争力，推行的外语教学改革的项目和活动等。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学院教师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专业活动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学院教师专业会议使用外语情况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10分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100分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4"/>
          <w:shd w:val="clear" w:color="auto" w:fill="FFFFFF"/>
        </w:rPr>
      </w:pP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广东外语外贸大学南国商学院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 xml:space="preserve"> “随时随地学外语·讲外语·用外语”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  <w:lang w:val="en-US" w:eastAsia="zh-CN"/>
        </w:rPr>
        <w:t>非</w:t>
      </w: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外语类单位工作考核评审指标（修订稿）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75"/>
        <w:gridCol w:w="3310"/>
        <w:gridCol w:w="925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指标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主要内涵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满分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晨读</w:t>
            </w:r>
          </w:p>
        </w:tc>
        <w:tc>
          <w:tcPr>
            <w:tcW w:w="5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学院班级晨读情况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60分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4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  <w:t>“随时随地学外语·讲外语·用外语”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学生活动开展情况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highlight w:val="none"/>
              </w:rPr>
              <w:t>品牌课外实践教学活动开展材料：活动方案、实施情况等。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40分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学生在外语竞赛中获奖情况。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大学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四六级考级情况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围绕“一体两翼”的人才培养模式，全面提高学生外语能力和实践能力，提升核心竞争力，推行的外语教学改革的项目和活动等。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vertAlign w:val="baseline"/>
                <w:lang w:val="en-US" w:eastAsia="zh-CN"/>
              </w:rPr>
              <w:t>100分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vertAlign w:val="baseline"/>
              </w:rPr>
            </w:pPr>
          </w:p>
        </w:tc>
      </w:tr>
    </w:tbl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36" w:lineRule="auto"/>
        <w:ind w:left="-565" w:leftChars="-405" w:hanging="285"/>
        <w:rPr>
          <w:rFonts w:hint="eastAsia" w:ascii="宋体" w:hAnsi="宋体" w:eastAsia="宋体"/>
          <w:b/>
          <w:sz w:val="22"/>
          <w:szCs w:val="22"/>
          <w:lang w:eastAsia="zh-CN"/>
        </w:rPr>
      </w:pPr>
      <w:r>
        <w:rPr>
          <w:rFonts w:hint="eastAsia" w:ascii="宋体" w:hAnsi="宋体" w:eastAsia="宋体"/>
          <w:b/>
          <w:sz w:val="22"/>
          <w:szCs w:val="22"/>
        </w:rPr>
        <w:t>附件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2：</w:t>
      </w:r>
    </w:p>
    <w:tbl>
      <w:tblPr>
        <w:tblStyle w:val="2"/>
        <w:tblW w:w="0" w:type="auto"/>
        <w:tblInd w:w="-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50"/>
        <w:gridCol w:w="1550"/>
        <w:gridCol w:w="1250"/>
        <w:gridCol w:w="1200"/>
        <w:gridCol w:w="1425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学年度第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学期“随时随地学外语•讲外语•用外语”活动</w:t>
            </w:r>
          </w:p>
          <w:p>
            <w:pPr>
              <w:widowControl/>
              <w:ind w:left="-659" w:leftChars="-31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晨读抽检汇总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考勤（平均率）</w:t>
            </w:r>
          </w:p>
        </w:tc>
        <w:tc>
          <w:tcPr>
            <w:tcW w:w="5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评级（优、良、合格、不合格）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优（次）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良（次）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合格（次）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不合格（次）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注：每班级每学期抽查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7次及以上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评价标准：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优:无迟到早退现象，精神饱满，有浓厚的读书氛围，无睡觉、吃早餐等情况。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良:无迟到早退现象，精神状态良好，有较浓厚的读书氛围，无睡觉、吃早餐等情况。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合格:有个别迟到早退现象，精神状态良好，有一定的读书氛围，有个别睡觉、吃早餐等情况。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差:迟到早退现象明显，精神面貌差，参与晨读人数少，睡觉、玩手机现象普遍等情况。</w:t>
            </w:r>
          </w:p>
        </w:tc>
      </w:tr>
    </w:tbl>
    <w:p>
      <w:pPr>
        <w:rPr>
          <w:rFonts w:hint="eastAsia" w:ascii="宋体" w:hAnsi="宋体"/>
          <w:sz w:val="24"/>
          <w:shd w:val="clear" w:color="auto" w:fill="FFFFFF"/>
        </w:rPr>
      </w:pPr>
    </w:p>
    <w:p>
      <w:pPr>
        <w:rPr>
          <w:rFonts w:hint="eastAsia" w:ascii="宋体" w:hAnsi="宋体"/>
          <w:sz w:val="24"/>
          <w:shd w:val="clear" w:color="auto" w:fill="FFFFFF"/>
        </w:rPr>
      </w:pPr>
    </w:p>
    <w:p>
      <w:pPr>
        <w:rPr>
          <w:rFonts w:hint="eastAsia" w:ascii="宋体" w:hAnsi="宋体"/>
          <w:sz w:val="24"/>
          <w:shd w:val="clear" w:color="auto" w:fill="FFFFFF"/>
        </w:rPr>
      </w:pPr>
    </w:p>
    <w:p>
      <w:pPr>
        <w:spacing w:line="336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附件3：</w:t>
      </w:r>
      <w:r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“随时随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地学外语•讲外语•用外语”活动先进班级评分表</w:t>
      </w:r>
    </w:p>
    <w:tbl>
      <w:tblPr>
        <w:tblStyle w:val="2"/>
        <w:tblpPr w:leftFromText="180" w:rightFromText="180" w:vertAnchor="text" w:horzAnchor="page" w:tblpX="824" w:tblpY="593"/>
        <w:tblOverlap w:val="never"/>
        <w:tblW w:w="104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151"/>
        <w:gridCol w:w="2956"/>
        <w:gridCol w:w="1302"/>
        <w:gridCol w:w="1363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班级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晨读考勤</w:t>
            </w: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50%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先进班级佐证材料</w:t>
            </w: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50%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英语语言文化学院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东方语言文化学院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西方语言文化学院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经济学院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旅游学院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中国语言文化学院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教育学院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信息科学技术学院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国际学院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2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spacing w:line="336" w:lineRule="auto"/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  <w:t>附件4：2020-2021学年“随时随地学外语•讲外语•用外语”活动先进班级推荐表</w:t>
      </w:r>
    </w:p>
    <w:tbl>
      <w:tblPr>
        <w:tblStyle w:val="2"/>
        <w:tblpPr w:leftFromText="180" w:rightFromText="180" w:vertAnchor="text" w:horzAnchor="page" w:tblpX="997" w:tblpY="593"/>
        <w:tblOverlap w:val="never"/>
        <w:tblW w:w="99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400"/>
        <w:gridCol w:w="4635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班级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英语语言文化学院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东方语言文化学院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西方语言文化学院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经济学院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管理学院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旅游学院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中国语言文化学院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教育学院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  <w:t>信息科学技术学院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国际学院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</w:pPr>
    </w:p>
    <w:p>
      <w:pPr>
        <w:spacing w:line="336" w:lineRule="auto"/>
        <w:rPr>
          <w:rFonts w:hint="eastAsia" w:ascii="宋体" w:hAnsi="宋体"/>
          <w:b/>
          <w:sz w:val="22"/>
          <w:szCs w:val="22"/>
          <w:shd w:val="clear" w:color="auto" w:fill="auto"/>
          <w:lang w:val="en-US" w:eastAsia="zh-CN"/>
        </w:rPr>
      </w:pPr>
    </w:p>
    <w:p>
      <w:pPr>
        <w:spacing w:line="336" w:lineRule="auto"/>
        <w:jc w:val="both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ind w:firstLine="241" w:firstLineChars="100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432" w:lineRule="auto"/>
        <w:ind w:firstLine="241" w:firstLineChars="100"/>
        <w:rPr>
          <w:rFonts w:hint="eastAsia" w:ascii="宋体" w:hAnsi="宋体"/>
          <w:b/>
          <w:sz w:val="24"/>
          <w:szCs w:val="24"/>
          <w:shd w:val="clear" w:color="auto" w:fill="auto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2021-06-01T07:11:58Z</dcterms:created>
  <dc:creator>ACER-PC</dc:creator>
  <cp:lastModifiedBy>ACER-PC</cp:lastModifiedBy>
  <dcterms:modified xsi:type="dcterms:W3CDTF">2021-06-01T07:13:28Z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2C45F8BAE9A54E3DB3F857E75052E7B4</vt:lpwstr>
  </property>
</Properties>
</file>